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civico generalizzato concernente dati e documenti ulteriori a quelli soggetti a pubblicazione obbligatoria ai sensi del D.Lgs. 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nell'accesso civico "generalizzato" concernente dati e documenti ulteriori a quelli soggetti a pubblicazione obbligatoria ai sensi del D.Lgs.33/2013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D.Lgs. n. 82/2005 - L. 190/2012 - DPR n. 62/2013 - Statuto - Regolamento sul procedimento amministrativo - L. 241/1990 - D.P.R. 184/2006 - D.Lgs. 33/2013 - Linee guida ANAC - Regolamento sull'esercizio del diritto d'accesso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078D7" w:rsidRDefault="00E53CA8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541175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E53CA8" w:rsidRDefault="00E53CA8" w:rsidP="00E53CA8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E53CA8" w:rsidRDefault="00E53CA8" w:rsidP="00E53CA8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E53CA8" w:rsidRDefault="00E53CA8" w:rsidP="00E53CA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E53CA8" w:rsidRDefault="00E53CA8" w:rsidP="00E53CA8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078D7" w:rsidRDefault="00E53CA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al TAR entro 30 giorni dal diniego o dal non accoglimento dell'istanza di riesame al RPCT oppure ricorso al Garante della Regione, laddove istituito, ai sensi degli art. 116 D.lgs 104/2010 e art. 5 del D.Lgs 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E53CA8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078D7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3CA8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687585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E53CA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53C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8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2026-06-12T20:03:00Z</dcterms:modified>
</cp:coreProperties>
</file>